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85" w:rsidRPr="00994294" w:rsidRDefault="00A54485" w:rsidP="00220D3E">
      <w:pPr>
        <w:spacing w:line="360" w:lineRule="auto"/>
        <w:jc w:val="center"/>
        <w:rPr>
          <w:rFonts w:ascii="Times New Roman" w:hAnsi="Times New Roman" w:cs="Times New Roman"/>
          <w:b/>
          <w:color w:val="000000" w:themeColor="text1"/>
          <w:sz w:val="28"/>
          <w:szCs w:val="28"/>
        </w:rPr>
      </w:pPr>
      <w:r w:rsidRPr="00994294">
        <w:rPr>
          <w:rFonts w:ascii="Times New Roman" w:hAnsi="Times New Roman" w:cs="Times New Roman"/>
          <w:b/>
          <w:color w:val="000000" w:themeColor="text1"/>
          <w:sz w:val="28"/>
          <w:szCs w:val="28"/>
        </w:rPr>
        <w:t>HƯỚNG DẪN THỦ TỤC LƯU KÝ CHỨNG KHOÁN</w:t>
      </w:r>
    </w:p>
    <w:p w:rsidR="00242878" w:rsidRPr="00994294" w:rsidRDefault="00242878" w:rsidP="00220D3E">
      <w:pPr>
        <w:spacing w:line="360" w:lineRule="auto"/>
        <w:jc w:val="center"/>
        <w:rPr>
          <w:rFonts w:ascii="Times New Roman" w:hAnsi="Times New Roman" w:cs="Times New Roman"/>
          <w:b/>
          <w:color w:val="000000" w:themeColor="text1"/>
          <w:sz w:val="28"/>
          <w:szCs w:val="28"/>
        </w:rPr>
      </w:pPr>
      <w:r w:rsidRPr="00994294">
        <w:rPr>
          <w:rFonts w:ascii="Times New Roman" w:hAnsi="Times New Roman" w:cs="Times New Roman"/>
          <w:b/>
          <w:color w:val="000000" w:themeColor="text1"/>
          <w:sz w:val="28"/>
          <w:szCs w:val="28"/>
        </w:rPr>
        <w:t xml:space="preserve">CỔ PHIẾU </w:t>
      </w:r>
      <w:r w:rsidR="00610E9C" w:rsidRPr="00994294">
        <w:rPr>
          <w:rFonts w:ascii="Times New Roman" w:hAnsi="Times New Roman" w:cs="Times New Roman"/>
          <w:b/>
          <w:color w:val="000000" w:themeColor="text1"/>
          <w:sz w:val="28"/>
          <w:szCs w:val="28"/>
        </w:rPr>
        <w:t>C</w:t>
      </w:r>
      <w:r w:rsidR="00994294">
        <w:rPr>
          <w:rFonts w:ascii="Times New Roman" w:hAnsi="Times New Roman" w:cs="Times New Roman"/>
          <w:b/>
          <w:color w:val="000000" w:themeColor="text1"/>
          <w:sz w:val="28"/>
          <w:szCs w:val="28"/>
        </w:rPr>
        <w:t xml:space="preserve">ÔNG </w:t>
      </w:r>
      <w:r w:rsidR="00610E9C" w:rsidRPr="00994294">
        <w:rPr>
          <w:rFonts w:ascii="Times New Roman" w:hAnsi="Times New Roman" w:cs="Times New Roman"/>
          <w:b/>
          <w:color w:val="000000" w:themeColor="text1"/>
          <w:sz w:val="28"/>
          <w:szCs w:val="28"/>
        </w:rPr>
        <w:t>TY CỔ PHẦN ĐẦU TƯ KINH DOANH ĐIỆN LỰC TP.HCM (Mã HTE, sàn Upcom)</w:t>
      </w:r>
    </w:p>
    <w:p w:rsidR="00A54485" w:rsidRPr="00994294" w:rsidRDefault="00A54485" w:rsidP="00A54485">
      <w:pPr>
        <w:jc w:val="center"/>
        <w:rPr>
          <w:rFonts w:ascii="Times New Roman" w:hAnsi="Times New Roman" w:cs="Times New Roman"/>
          <w:b/>
          <w:color w:val="000000" w:themeColor="text1"/>
          <w:sz w:val="28"/>
          <w:szCs w:val="28"/>
        </w:rPr>
      </w:pPr>
    </w:p>
    <w:p w:rsidR="00A54485" w:rsidRPr="00994294" w:rsidRDefault="00A54485">
      <w:pPr>
        <w:rPr>
          <w:color w:val="000000" w:themeColor="text1"/>
        </w:rPr>
      </w:pPr>
    </w:p>
    <w:tbl>
      <w:tblPr>
        <w:tblW w:w="5000" w:type="pct"/>
        <w:tblCellSpacing w:w="0" w:type="dxa"/>
        <w:shd w:val="clear" w:color="auto" w:fill="FFFFFF"/>
        <w:tblCellMar>
          <w:top w:w="63" w:type="dxa"/>
          <w:left w:w="0" w:type="dxa"/>
          <w:right w:w="100" w:type="dxa"/>
        </w:tblCellMar>
        <w:tblLook w:val="04A0" w:firstRow="1" w:lastRow="0" w:firstColumn="1" w:lastColumn="0" w:noHBand="0" w:noVBand="1"/>
      </w:tblPr>
      <w:tblGrid>
        <w:gridCol w:w="9460"/>
      </w:tblGrid>
      <w:tr w:rsidR="00994294" w:rsidRPr="00994294" w:rsidTr="00242878">
        <w:trPr>
          <w:tblCellSpacing w:w="0" w:type="dxa"/>
        </w:trPr>
        <w:tc>
          <w:tcPr>
            <w:tcW w:w="0" w:type="auto"/>
            <w:shd w:val="clear" w:color="auto" w:fill="FFFFFF"/>
            <w:tcMar>
              <w:top w:w="125" w:type="dxa"/>
              <w:left w:w="0" w:type="dxa"/>
              <w:bottom w:w="0" w:type="dxa"/>
              <w:right w:w="100" w:type="dxa"/>
            </w:tcMar>
            <w:vAlign w:val="center"/>
            <w:hideMark/>
          </w:tcPr>
          <w:p w:rsidR="00610E9C" w:rsidRPr="00994294" w:rsidRDefault="00610E9C" w:rsidP="00610E9C">
            <w:pPr>
              <w:ind w:firstLine="0"/>
              <w:rPr>
                <w:rFonts w:ascii="Times New Roman" w:hAnsi="Times New Roman" w:cs="Times New Roman"/>
                <w:b/>
                <w:color w:val="000000" w:themeColor="text1"/>
                <w:sz w:val="26"/>
                <w:szCs w:val="26"/>
              </w:rPr>
            </w:pPr>
            <w:r w:rsidRPr="00994294">
              <w:rPr>
                <w:rFonts w:ascii="Times New Roman" w:hAnsi="Times New Roman" w:cs="Times New Roman"/>
                <w:b/>
                <w:color w:val="000000" w:themeColor="text1"/>
                <w:sz w:val="26"/>
                <w:szCs w:val="26"/>
              </w:rPr>
              <w:t>1. TẠI SAO PHẢI LƯU KÝ CHỨNG KHOÁN</w:t>
            </w:r>
          </w:p>
          <w:p w:rsidR="00610E9C" w:rsidRPr="00994294" w:rsidRDefault="00610E9C" w:rsidP="00610E9C">
            <w:pPr>
              <w:pStyle w:val="ListParagraph"/>
              <w:numPr>
                <w:ilvl w:val="0"/>
                <w:numId w:val="3"/>
              </w:numPr>
              <w:ind w:left="900"/>
              <w:rPr>
                <w:rFonts w:ascii="Times New Roman" w:hAnsi="Times New Roman" w:cs="Times New Roman"/>
                <w:b/>
                <w:color w:val="000000" w:themeColor="text1"/>
                <w:sz w:val="26"/>
                <w:szCs w:val="26"/>
              </w:rPr>
            </w:pPr>
            <w:r w:rsidRPr="00994294">
              <w:rPr>
                <w:rFonts w:ascii="Times New Roman" w:hAnsi="Times New Roman" w:cs="Times New Roman"/>
                <w:color w:val="000000" w:themeColor="text1"/>
                <w:sz w:val="26"/>
                <w:szCs w:val="26"/>
              </w:rPr>
              <w:t>Bảo quản chứng chỉ chứng khoán.</w:t>
            </w:r>
          </w:p>
          <w:p w:rsidR="00610E9C" w:rsidRPr="00994294" w:rsidRDefault="00610E9C" w:rsidP="00610E9C">
            <w:pPr>
              <w:pStyle w:val="ListParagraph"/>
              <w:numPr>
                <w:ilvl w:val="0"/>
                <w:numId w:val="3"/>
              </w:numPr>
              <w:ind w:left="900"/>
              <w:rPr>
                <w:rFonts w:ascii="Times New Roman" w:hAnsi="Times New Roman" w:cs="Times New Roman"/>
                <w:b/>
                <w:color w:val="000000" w:themeColor="text1"/>
                <w:sz w:val="26"/>
                <w:szCs w:val="26"/>
              </w:rPr>
            </w:pPr>
            <w:r w:rsidRPr="00994294">
              <w:rPr>
                <w:rFonts w:ascii="Times New Roman" w:hAnsi="Times New Roman" w:cs="Times New Roman"/>
                <w:color w:val="000000" w:themeColor="text1"/>
                <w:sz w:val="26"/>
                <w:szCs w:val="26"/>
              </w:rPr>
              <w:t>Tránh được tình trạng chứng khoán bị hư hỏng, mất cắp hoặc thất lạc.</w:t>
            </w:r>
          </w:p>
          <w:p w:rsidR="00610E9C" w:rsidRPr="00994294" w:rsidRDefault="00610E9C" w:rsidP="00610E9C">
            <w:pPr>
              <w:pStyle w:val="ListParagraph"/>
              <w:numPr>
                <w:ilvl w:val="0"/>
                <w:numId w:val="3"/>
              </w:numPr>
              <w:ind w:left="900"/>
              <w:rPr>
                <w:rFonts w:ascii="Times New Roman" w:hAnsi="Times New Roman" w:cs="Times New Roman"/>
                <w:b/>
                <w:color w:val="000000" w:themeColor="text1"/>
                <w:sz w:val="26"/>
                <w:szCs w:val="26"/>
              </w:rPr>
            </w:pPr>
            <w:r w:rsidRPr="00994294">
              <w:rPr>
                <w:rFonts w:ascii="Times New Roman" w:hAnsi="Times New Roman" w:cs="Times New Roman"/>
                <w:color w:val="000000" w:themeColor="text1"/>
                <w:sz w:val="26"/>
                <w:szCs w:val="26"/>
              </w:rPr>
              <w:t>Đảm bảo thanh toán nhanh trong trường hợp mua bán trao đổi.</w:t>
            </w:r>
          </w:p>
          <w:p w:rsidR="00610E9C" w:rsidRPr="00994294" w:rsidRDefault="00610E9C" w:rsidP="00610E9C">
            <w:pPr>
              <w:ind w:firstLine="0"/>
              <w:rPr>
                <w:rFonts w:ascii="Times New Roman" w:hAnsi="Times New Roman" w:cs="Times New Roman"/>
                <w:color w:val="000000" w:themeColor="text1"/>
                <w:sz w:val="26"/>
                <w:szCs w:val="26"/>
              </w:rPr>
            </w:pPr>
          </w:p>
          <w:p w:rsidR="00610E9C" w:rsidRPr="00994294" w:rsidRDefault="00610E9C" w:rsidP="00610E9C">
            <w:pPr>
              <w:ind w:firstLine="0"/>
              <w:rPr>
                <w:rFonts w:ascii="Times New Roman" w:hAnsi="Times New Roman" w:cs="Times New Roman"/>
                <w:b/>
                <w:color w:val="000000" w:themeColor="text1"/>
                <w:sz w:val="26"/>
                <w:szCs w:val="26"/>
              </w:rPr>
            </w:pPr>
            <w:r w:rsidRPr="00994294">
              <w:rPr>
                <w:rFonts w:ascii="Times New Roman" w:hAnsi="Times New Roman" w:cs="Times New Roman"/>
                <w:b/>
                <w:color w:val="000000" w:themeColor="text1"/>
                <w:sz w:val="26"/>
                <w:szCs w:val="26"/>
              </w:rPr>
              <w:t>2. QUYỀN LỢI KHI LƯU KÝ CHỨNG KHOÁN</w:t>
            </w:r>
          </w:p>
          <w:p w:rsidR="00610E9C" w:rsidRPr="00994294" w:rsidRDefault="00610E9C" w:rsidP="00610E9C">
            <w:pPr>
              <w:pStyle w:val="ListParagraph"/>
              <w:numPr>
                <w:ilvl w:val="0"/>
                <w:numId w:val="4"/>
              </w:numPr>
              <w:ind w:left="900"/>
              <w:rPr>
                <w:rFonts w:ascii="Times New Roman" w:hAnsi="Times New Roman" w:cs="Times New Roman"/>
                <w:b/>
                <w:color w:val="000000" w:themeColor="text1"/>
                <w:sz w:val="26"/>
                <w:szCs w:val="26"/>
              </w:rPr>
            </w:pPr>
            <w:r w:rsidRPr="00994294">
              <w:rPr>
                <w:rFonts w:ascii="Times New Roman" w:hAnsi="Times New Roman" w:cs="Times New Roman"/>
                <w:color w:val="000000" w:themeColor="text1"/>
                <w:sz w:val="26"/>
                <w:szCs w:val="26"/>
              </w:rPr>
              <w:t>Chứng khoán khi lưu ký sẽ được lưu giữ, bảo quản tránh trường hợp làm mất, rách hoặc nhòe không thể nhận diện được sổ</w:t>
            </w:r>
          </w:p>
          <w:p w:rsidR="00994294" w:rsidRPr="00994294" w:rsidRDefault="00994294" w:rsidP="00994294">
            <w:pPr>
              <w:pStyle w:val="ListParagraph"/>
              <w:numPr>
                <w:ilvl w:val="0"/>
                <w:numId w:val="4"/>
              </w:numPr>
              <w:ind w:left="900"/>
              <w:rPr>
                <w:rFonts w:ascii="Times New Roman" w:eastAsia="Times New Roman" w:hAnsi="Times New Roman" w:cs="Times New Roman"/>
                <w:bCs/>
                <w:color w:val="000000" w:themeColor="text1"/>
                <w:sz w:val="26"/>
                <w:szCs w:val="26"/>
              </w:rPr>
            </w:pPr>
            <w:r w:rsidRPr="00994294">
              <w:rPr>
                <w:rFonts w:ascii="Times New Roman" w:eastAsia="Times New Roman" w:hAnsi="Times New Roman" w:cs="Times New Roman"/>
                <w:bCs/>
                <w:color w:val="000000" w:themeColor="text1"/>
                <w:sz w:val="26"/>
                <w:szCs w:val="26"/>
              </w:rPr>
              <w:t>Thực hiện giao dịch mua bán cổ phiếu HTE nhanh chóng, dễ dàng</w:t>
            </w:r>
          </w:p>
          <w:p w:rsidR="00994294" w:rsidRPr="00994294" w:rsidRDefault="00994294" w:rsidP="00994294">
            <w:pPr>
              <w:pStyle w:val="ListParagraph"/>
              <w:numPr>
                <w:ilvl w:val="0"/>
                <w:numId w:val="4"/>
              </w:numPr>
              <w:ind w:left="900"/>
              <w:rPr>
                <w:rFonts w:ascii="Times New Roman" w:eastAsia="Times New Roman" w:hAnsi="Times New Roman" w:cs="Times New Roman"/>
                <w:bCs/>
                <w:color w:val="000000" w:themeColor="text1"/>
                <w:sz w:val="26"/>
                <w:szCs w:val="26"/>
              </w:rPr>
            </w:pPr>
            <w:r w:rsidRPr="00994294">
              <w:rPr>
                <w:rFonts w:ascii="Times New Roman" w:eastAsia="Times New Roman" w:hAnsi="Times New Roman" w:cs="Times New Roman"/>
                <w:bCs/>
                <w:color w:val="000000" w:themeColor="text1"/>
                <w:sz w:val="26"/>
                <w:szCs w:val="26"/>
              </w:rPr>
              <w:t>Nhận cổ tức ngay trên tài khoản chứng khoán và dễ dàng chuyển tiền online về tài khoản ngân hàng với sự liên kết của nhiều ngân hàng như VCB, BIDV, ACB…</w:t>
            </w:r>
          </w:p>
          <w:p w:rsidR="00610E9C" w:rsidRPr="00994294" w:rsidRDefault="00994294" w:rsidP="00994294">
            <w:pPr>
              <w:ind w:firstLine="0"/>
              <w:rPr>
                <w:rFonts w:ascii="Times New Roman" w:eastAsia="Times New Roman" w:hAnsi="Times New Roman" w:cs="Times New Roman"/>
                <w:bCs/>
                <w:color w:val="000000" w:themeColor="text1"/>
                <w:sz w:val="26"/>
                <w:szCs w:val="26"/>
              </w:rPr>
            </w:pPr>
            <w:r w:rsidRPr="00994294">
              <w:rPr>
                <w:rFonts w:ascii="Times New Roman" w:eastAsia="Times New Roman" w:hAnsi="Times New Roman" w:cs="Times New Roman"/>
                <w:bCs/>
                <w:color w:val="000000" w:themeColor="text1"/>
                <w:sz w:val="26"/>
                <w:szCs w:val="26"/>
              </w:rPr>
              <w:t xml:space="preserve"> </w:t>
            </w:r>
          </w:p>
          <w:p w:rsidR="00610E9C" w:rsidRPr="00994294" w:rsidRDefault="00610E9C" w:rsidP="00610E9C">
            <w:pPr>
              <w:ind w:firstLine="0"/>
              <w:rPr>
                <w:rFonts w:ascii="Times New Roman" w:hAnsi="Times New Roman" w:cs="Times New Roman"/>
                <w:b/>
                <w:color w:val="000000" w:themeColor="text1"/>
                <w:sz w:val="26"/>
                <w:szCs w:val="26"/>
              </w:rPr>
            </w:pPr>
            <w:r w:rsidRPr="00994294">
              <w:rPr>
                <w:rFonts w:ascii="Times New Roman" w:hAnsi="Times New Roman" w:cs="Times New Roman"/>
                <w:b/>
                <w:color w:val="000000" w:themeColor="text1"/>
                <w:sz w:val="26"/>
                <w:szCs w:val="26"/>
              </w:rPr>
              <w:t>3. THỰC HIỆN LƯU KÝ CHỨNG KHOÁN</w:t>
            </w:r>
          </w:p>
          <w:p w:rsidR="00610E9C" w:rsidRPr="00994294" w:rsidRDefault="00D22707" w:rsidP="004609D8">
            <w:pPr>
              <w:ind w:firstLine="0"/>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 xml:space="preserve">      </w:t>
            </w:r>
          </w:p>
          <w:p w:rsidR="008C1DB9" w:rsidRPr="00EB7339" w:rsidRDefault="00D22707" w:rsidP="00D22707">
            <w:pPr>
              <w:pStyle w:val="ListParagraph"/>
              <w:numPr>
                <w:ilvl w:val="0"/>
                <w:numId w:val="14"/>
              </w:numP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Chuẩn bị h</w:t>
            </w:r>
            <w:r w:rsidR="008C1DB9" w:rsidRPr="00EB7339">
              <w:rPr>
                <w:rFonts w:ascii="Times New Roman" w:eastAsia="Times New Roman" w:hAnsi="Times New Roman" w:cs="Times New Roman"/>
                <w:b/>
                <w:bCs/>
                <w:color w:val="000000" w:themeColor="text1"/>
                <w:sz w:val="26"/>
                <w:szCs w:val="26"/>
              </w:rPr>
              <w:t>ồ sơ lưu ký</w:t>
            </w:r>
            <w:r>
              <w:rPr>
                <w:rFonts w:ascii="Times New Roman" w:eastAsia="Times New Roman" w:hAnsi="Times New Roman" w:cs="Times New Roman"/>
                <w:b/>
                <w:bCs/>
                <w:color w:val="000000" w:themeColor="text1"/>
                <w:sz w:val="26"/>
                <w:szCs w:val="26"/>
              </w:rPr>
              <w:t>, cụ thể</w:t>
            </w:r>
            <w:r w:rsidR="008C1DB9" w:rsidRPr="00EB7339">
              <w:rPr>
                <w:rFonts w:ascii="Times New Roman" w:eastAsia="Times New Roman" w:hAnsi="Times New Roman" w:cs="Times New Roman"/>
                <w:b/>
                <w:bCs/>
                <w:color w:val="000000" w:themeColor="text1"/>
                <w:sz w:val="26"/>
                <w:szCs w:val="26"/>
              </w:rPr>
              <w:t>:</w:t>
            </w:r>
          </w:p>
        </w:tc>
      </w:tr>
      <w:tr w:rsidR="00994294" w:rsidRPr="00994294" w:rsidTr="00242878">
        <w:trPr>
          <w:tblCellSpacing w:w="0" w:type="dxa"/>
        </w:trPr>
        <w:tc>
          <w:tcPr>
            <w:tcW w:w="0" w:type="auto"/>
            <w:shd w:val="clear" w:color="auto" w:fill="FFFFFF"/>
            <w:tcMar>
              <w:top w:w="63" w:type="dxa"/>
              <w:left w:w="125" w:type="dxa"/>
              <w:bottom w:w="0" w:type="dxa"/>
              <w:right w:w="100" w:type="dxa"/>
            </w:tcMar>
            <w:vAlign w:val="center"/>
            <w:hideMark/>
          </w:tcPr>
          <w:p w:rsidR="008C1DB9" w:rsidRPr="00994294" w:rsidRDefault="00595B7E" w:rsidP="004609D8">
            <w:pPr>
              <w:ind w:firstLine="0"/>
              <w:rPr>
                <w:rFonts w:ascii="Times New Roman" w:eastAsia="Times New Roman" w:hAnsi="Times New Roman" w:cs="Times New Roman"/>
                <w:b/>
                <w:bCs/>
                <w:color w:val="000000" w:themeColor="text1"/>
                <w:sz w:val="26"/>
                <w:szCs w:val="26"/>
              </w:rPr>
            </w:pPr>
            <w:r w:rsidRPr="00994294">
              <w:rPr>
                <w:rFonts w:ascii="Times New Roman" w:eastAsia="Times New Roman" w:hAnsi="Times New Roman" w:cs="Times New Roman"/>
                <w:b/>
                <w:bCs/>
                <w:color w:val="000000" w:themeColor="text1"/>
                <w:sz w:val="26"/>
                <w:szCs w:val="26"/>
              </w:rPr>
              <w:t>*</w:t>
            </w:r>
            <w:r w:rsidR="00EB7339">
              <w:rPr>
                <w:rFonts w:ascii="Times New Roman" w:eastAsia="Times New Roman" w:hAnsi="Times New Roman" w:cs="Times New Roman"/>
                <w:b/>
                <w:bCs/>
                <w:color w:val="000000" w:themeColor="text1"/>
                <w:sz w:val="26"/>
                <w:szCs w:val="26"/>
              </w:rPr>
              <w:t xml:space="preserve"> </w:t>
            </w:r>
            <w:r w:rsidR="008C1DB9" w:rsidRPr="00994294">
              <w:rPr>
                <w:rFonts w:ascii="Times New Roman" w:eastAsia="Times New Roman" w:hAnsi="Times New Roman" w:cs="Times New Roman"/>
                <w:b/>
                <w:bCs/>
                <w:color w:val="000000" w:themeColor="text1"/>
                <w:sz w:val="26"/>
                <w:szCs w:val="26"/>
              </w:rPr>
              <w:t>Đối với Khách hàng là cá nhân:</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6"/>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Sổ/Giấy chứng nhận sở hữu cổ phần (bản gốc)</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6"/>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CMND)/hộ chiếu (bản phô tô và bản gốc để đối chiếu)</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994294">
            <w:pPr>
              <w:pStyle w:val="ListParagraph"/>
              <w:numPr>
                <w:ilvl w:val="0"/>
                <w:numId w:val="6"/>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 xml:space="preserve">Phiếu gửi chứng khoán: </w:t>
            </w:r>
            <w:r w:rsidR="00994294">
              <w:rPr>
                <w:rFonts w:ascii="Times New Roman" w:eastAsia="Times New Roman" w:hAnsi="Times New Roman" w:cs="Times New Roman"/>
                <w:color w:val="000000" w:themeColor="text1"/>
                <w:sz w:val="26"/>
                <w:szCs w:val="26"/>
              </w:rPr>
              <w:t>thực hiện theo mẫu tại Công ty chứng khoán</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4609D8">
            <w:pPr>
              <w:ind w:firstLine="0"/>
              <w:rPr>
                <w:rFonts w:ascii="Times New Roman" w:eastAsia="Times New Roman" w:hAnsi="Times New Roman" w:cs="Times New Roman"/>
                <w:color w:val="000000" w:themeColor="text1"/>
                <w:sz w:val="26"/>
                <w:szCs w:val="26"/>
              </w:rPr>
            </w:pPr>
          </w:p>
        </w:tc>
      </w:tr>
      <w:tr w:rsidR="00994294" w:rsidRPr="00994294" w:rsidTr="00242878">
        <w:trPr>
          <w:tblCellSpacing w:w="0" w:type="dxa"/>
        </w:trPr>
        <w:tc>
          <w:tcPr>
            <w:tcW w:w="0" w:type="auto"/>
            <w:shd w:val="clear" w:color="auto" w:fill="FFFFFF"/>
            <w:tcMar>
              <w:top w:w="63" w:type="dxa"/>
              <w:left w:w="125" w:type="dxa"/>
              <w:bottom w:w="0" w:type="dxa"/>
              <w:right w:w="100" w:type="dxa"/>
            </w:tcMar>
            <w:vAlign w:val="center"/>
            <w:hideMark/>
          </w:tcPr>
          <w:p w:rsidR="008C1DB9" w:rsidRPr="00994294" w:rsidRDefault="008C1DB9" w:rsidP="004609D8">
            <w:pPr>
              <w:ind w:firstLine="0"/>
              <w:rPr>
                <w:rFonts w:ascii="Times New Roman" w:eastAsia="Times New Roman" w:hAnsi="Times New Roman" w:cs="Times New Roman"/>
                <w:b/>
                <w:bCs/>
                <w:color w:val="000000" w:themeColor="text1"/>
                <w:sz w:val="26"/>
                <w:szCs w:val="26"/>
              </w:rPr>
            </w:pPr>
            <w:r w:rsidRPr="00994294">
              <w:rPr>
                <w:rFonts w:ascii="Times New Roman" w:eastAsia="Times New Roman" w:hAnsi="Times New Roman" w:cs="Times New Roman"/>
                <w:b/>
                <w:bCs/>
                <w:color w:val="000000" w:themeColor="text1"/>
                <w:sz w:val="26"/>
                <w:szCs w:val="26"/>
              </w:rPr>
              <w:t>*</w:t>
            </w:r>
            <w:r w:rsidR="00EB7339">
              <w:rPr>
                <w:rFonts w:ascii="Times New Roman" w:eastAsia="Times New Roman" w:hAnsi="Times New Roman" w:cs="Times New Roman"/>
                <w:b/>
                <w:bCs/>
                <w:color w:val="000000" w:themeColor="text1"/>
                <w:sz w:val="26"/>
                <w:szCs w:val="26"/>
              </w:rPr>
              <w:t xml:space="preserve"> </w:t>
            </w:r>
            <w:r w:rsidRPr="00994294">
              <w:rPr>
                <w:rFonts w:ascii="Times New Roman" w:eastAsia="Times New Roman" w:hAnsi="Times New Roman" w:cs="Times New Roman"/>
                <w:b/>
                <w:bCs/>
                <w:color w:val="000000" w:themeColor="text1"/>
                <w:sz w:val="26"/>
                <w:szCs w:val="26"/>
              </w:rPr>
              <w:t>Đối với Khách hàng là Tổ chức:</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7"/>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Sổ/Giấy chứng nhận sở hữu cổ phần (bản gốc)</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7"/>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Đăng ký kinh doanh (bản phô tô có công chứng).</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7"/>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CMND/hộ chiếu (bản phô tô có công chứng) của người được ủy quyền là đại diện pháp luật.</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7"/>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Quyết định bổ nhiệm.</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7"/>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Các giấy tờ khác có liên quan..</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595B7E">
            <w:pPr>
              <w:pStyle w:val="ListParagraph"/>
              <w:numPr>
                <w:ilvl w:val="0"/>
                <w:numId w:val="7"/>
              </w:numPr>
              <w:rPr>
                <w:rFonts w:ascii="Times New Roman" w:eastAsia="Times New Roman" w:hAnsi="Times New Roman" w:cs="Times New Roman"/>
                <w:color w:val="000000" w:themeColor="text1"/>
                <w:sz w:val="26"/>
                <w:szCs w:val="26"/>
              </w:rPr>
            </w:pPr>
            <w:r w:rsidRPr="00994294">
              <w:rPr>
                <w:rFonts w:ascii="Times New Roman" w:eastAsia="Times New Roman" w:hAnsi="Times New Roman" w:cs="Times New Roman"/>
                <w:color w:val="000000" w:themeColor="text1"/>
                <w:sz w:val="26"/>
                <w:szCs w:val="26"/>
              </w:rPr>
              <w:t xml:space="preserve">Phiếu gửi chứng khoán: </w:t>
            </w:r>
            <w:r w:rsidR="00994294">
              <w:rPr>
                <w:rFonts w:ascii="Times New Roman" w:eastAsia="Times New Roman" w:hAnsi="Times New Roman" w:cs="Times New Roman"/>
                <w:color w:val="000000" w:themeColor="text1"/>
                <w:sz w:val="26"/>
                <w:szCs w:val="26"/>
              </w:rPr>
              <w:t>thực hiện theo mẫu tại Công ty chứng khoán</w:t>
            </w:r>
            <w:r w:rsidRPr="00994294">
              <w:rPr>
                <w:rFonts w:ascii="Times New Roman" w:eastAsia="Times New Roman" w:hAnsi="Times New Roman" w:cs="Times New Roman"/>
                <w:color w:val="000000" w:themeColor="text1"/>
                <w:sz w:val="26"/>
                <w:szCs w:val="26"/>
              </w:rPr>
              <w:t>.</w:t>
            </w:r>
          </w:p>
        </w:tc>
      </w:tr>
      <w:tr w:rsidR="00994294" w:rsidRPr="00994294" w:rsidTr="00242878">
        <w:trPr>
          <w:tblCellSpacing w:w="0" w:type="dxa"/>
        </w:trPr>
        <w:tc>
          <w:tcPr>
            <w:tcW w:w="0" w:type="auto"/>
            <w:shd w:val="clear" w:color="auto" w:fill="FFFFFF"/>
            <w:tcMar>
              <w:top w:w="63" w:type="dxa"/>
              <w:left w:w="250" w:type="dxa"/>
              <w:bottom w:w="0" w:type="dxa"/>
              <w:right w:w="100" w:type="dxa"/>
            </w:tcMar>
            <w:vAlign w:val="center"/>
            <w:hideMark/>
          </w:tcPr>
          <w:p w:rsidR="008C1DB9" w:rsidRPr="00994294" w:rsidRDefault="008C1DB9" w:rsidP="004609D8">
            <w:pPr>
              <w:ind w:firstLine="0"/>
              <w:rPr>
                <w:rFonts w:ascii="Times New Roman" w:eastAsia="Times New Roman" w:hAnsi="Times New Roman" w:cs="Times New Roman"/>
                <w:color w:val="000000" w:themeColor="text1"/>
                <w:sz w:val="26"/>
                <w:szCs w:val="26"/>
              </w:rPr>
            </w:pPr>
          </w:p>
        </w:tc>
      </w:tr>
      <w:tr w:rsidR="00994294" w:rsidRPr="00994294" w:rsidTr="00242878">
        <w:trPr>
          <w:tblCellSpacing w:w="0" w:type="dxa"/>
        </w:trPr>
        <w:tc>
          <w:tcPr>
            <w:tcW w:w="0" w:type="auto"/>
            <w:shd w:val="clear" w:color="auto" w:fill="FFFFFF"/>
            <w:tcMar>
              <w:top w:w="63" w:type="dxa"/>
              <w:left w:w="125" w:type="dxa"/>
              <w:bottom w:w="0" w:type="dxa"/>
              <w:right w:w="100" w:type="dxa"/>
            </w:tcMar>
            <w:hideMark/>
          </w:tcPr>
          <w:p w:rsidR="008C1DB9" w:rsidRPr="00994294" w:rsidRDefault="00D22707" w:rsidP="004609D8">
            <w:pPr>
              <w:rPr>
                <w:rFonts w:ascii="Times New Roman" w:eastAsia="Times New Roman" w:hAnsi="Times New Roman" w:cs="Times New Roman"/>
                <w:color w:val="000000" w:themeColor="text1"/>
                <w:sz w:val="26"/>
                <w:szCs w:val="26"/>
              </w:rPr>
            </w:pPr>
            <w:r w:rsidRPr="00D22707">
              <w:rPr>
                <w:rFonts w:ascii="Times New Roman" w:eastAsia="Times New Roman" w:hAnsi="Times New Roman" w:cs="Times New Roman"/>
                <w:b/>
                <w:color w:val="000000" w:themeColor="text1"/>
                <w:sz w:val="26"/>
                <w:szCs w:val="26"/>
              </w:rPr>
              <w:t xml:space="preserve">b. </w:t>
            </w:r>
            <w:r>
              <w:rPr>
                <w:rFonts w:ascii="Times New Roman" w:eastAsia="Times New Roman" w:hAnsi="Times New Roman" w:cs="Times New Roman"/>
                <w:color w:val="000000" w:themeColor="text1"/>
                <w:sz w:val="26"/>
                <w:szCs w:val="26"/>
              </w:rPr>
              <w:t xml:space="preserve">Nhà Đầu tư </w:t>
            </w:r>
            <w:r w:rsidR="008C1DB9" w:rsidRPr="00994294">
              <w:rPr>
                <w:rFonts w:ascii="Times New Roman" w:eastAsia="Times New Roman" w:hAnsi="Times New Roman" w:cs="Times New Roman"/>
                <w:color w:val="000000" w:themeColor="text1"/>
                <w:sz w:val="26"/>
                <w:szCs w:val="26"/>
              </w:rPr>
              <w:t xml:space="preserve">mang Hồ sơ lưu ký chứng khoán </w:t>
            </w:r>
            <w:r w:rsidR="00610E9C" w:rsidRPr="00994294">
              <w:rPr>
                <w:rFonts w:ascii="Times New Roman" w:eastAsia="Times New Roman" w:hAnsi="Times New Roman" w:cs="Times New Roman"/>
                <w:color w:val="000000" w:themeColor="text1"/>
                <w:sz w:val="26"/>
                <w:szCs w:val="26"/>
              </w:rPr>
              <w:t xml:space="preserve">nêu trên </w:t>
            </w:r>
            <w:r w:rsidR="008C1DB9" w:rsidRPr="00994294">
              <w:rPr>
                <w:rFonts w:ascii="Times New Roman" w:eastAsia="Times New Roman" w:hAnsi="Times New Roman" w:cs="Times New Roman"/>
                <w:color w:val="000000" w:themeColor="text1"/>
                <w:sz w:val="26"/>
                <w:szCs w:val="26"/>
              </w:rPr>
              <w:t xml:space="preserve">trực tiếp đến </w:t>
            </w:r>
            <w:r w:rsidR="00610E9C" w:rsidRPr="00994294">
              <w:rPr>
                <w:rFonts w:ascii="Times New Roman" w:eastAsia="Times New Roman" w:hAnsi="Times New Roman" w:cs="Times New Roman"/>
                <w:color w:val="000000" w:themeColor="text1"/>
                <w:sz w:val="26"/>
                <w:szCs w:val="26"/>
              </w:rPr>
              <w:t xml:space="preserve">Các Công ty chứng khoán, </w:t>
            </w:r>
            <w:r w:rsidR="008C1DB9" w:rsidRPr="00994294">
              <w:rPr>
                <w:rFonts w:ascii="Times New Roman" w:eastAsia="Times New Roman" w:hAnsi="Times New Roman" w:cs="Times New Roman"/>
                <w:color w:val="000000" w:themeColor="text1"/>
                <w:sz w:val="26"/>
                <w:szCs w:val="26"/>
              </w:rPr>
              <w:t>Sàn giao dịch để thực hiện thủ tục lưu ký.</w:t>
            </w:r>
          </w:p>
          <w:p w:rsidR="00595B7E" w:rsidRPr="00994294" w:rsidRDefault="00595B7E" w:rsidP="004609D8">
            <w:pPr>
              <w:rPr>
                <w:rFonts w:ascii="Times New Roman" w:hAnsi="Times New Roman" w:cs="Times New Roman"/>
                <w:color w:val="000000" w:themeColor="text1"/>
                <w:sz w:val="26"/>
                <w:szCs w:val="26"/>
              </w:rPr>
            </w:pPr>
          </w:p>
        </w:tc>
      </w:tr>
    </w:tbl>
    <w:p w:rsidR="00595B7E" w:rsidRPr="00994294" w:rsidRDefault="00595B7E" w:rsidP="00CB3F9D">
      <w:pPr>
        <w:ind w:firstLine="0"/>
        <w:rPr>
          <w:rFonts w:ascii="Times New Roman" w:hAnsi="Times New Roman" w:cs="Times New Roman"/>
          <w:color w:val="000000" w:themeColor="text1"/>
          <w:sz w:val="26"/>
          <w:szCs w:val="26"/>
        </w:rPr>
      </w:pPr>
      <w:bookmarkStart w:id="0" w:name="_GoBack"/>
      <w:bookmarkEnd w:id="0"/>
    </w:p>
    <w:p w:rsidR="00D241AA" w:rsidRPr="00994294" w:rsidRDefault="00D22707" w:rsidP="005A4BDF">
      <w:pPr>
        <w:tabs>
          <w:tab w:val="left" w:pos="3869"/>
        </w:tabs>
        <w:ind w:firstLine="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4</w:t>
      </w:r>
      <w:r w:rsidR="00AF3D76" w:rsidRPr="00994294">
        <w:rPr>
          <w:rFonts w:ascii="Times New Roman" w:hAnsi="Times New Roman" w:cs="Times New Roman"/>
          <w:b/>
          <w:color w:val="000000" w:themeColor="text1"/>
          <w:sz w:val="26"/>
          <w:szCs w:val="26"/>
        </w:rPr>
        <w:t xml:space="preserve">. </w:t>
      </w:r>
      <w:r w:rsidR="00610E9C" w:rsidRPr="00994294">
        <w:rPr>
          <w:rFonts w:ascii="Times New Roman" w:hAnsi="Times New Roman" w:cs="Times New Roman"/>
          <w:b/>
          <w:color w:val="000000" w:themeColor="text1"/>
          <w:sz w:val="26"/>
          <w:szCs w:val="26"/>
        </w:rPr>
        <w:t xml:space="preserve">MỘT SỐ </w:t>
      </w:r>
      <w:r w:rsidR="00D241AA" w:rsidRPr="00994294">
        <w:rPr>
          <w:rFonts w:ascii="Times New Roman" w:hAnsi="Times New Roman" w:cs="Times New Roman"/>
          <w:b/>
          <w:color w:val="000000" w:themeColor="text1"/>
          <w:sz w:val="26"/>
          <w:szCs w:val="26"/>
        </w:rPr>
        <w:t xml:space="preserve">ĐỊA ĐIỂM </w:t>
      </w:r>
      <w:r w:rsidR="005A4BDF" w:rsidRPr="00994294">
        <w:rPr>
          <w:rFonts w:ascii="Times New Roman" w:hAnsi="Times New Roman" w:cs="Times New Roman"/>
          <w:b/>
          <w:color w:val="000000" w:themeColor="text1"/>
          <w:sz w:val="26"/>
          <w:szCs w:val="26"/>
        </w:rPr>
        <w:t>LƯU</w:t>
      </w:r>
      <w:r w:rsidR="00595B7E" w:rsidRPr="00994294">
        <w:rPr>
          <w:rFonts w:ascii="Times New Roman" w:hAnsi="Times New Roman" w:cs="Times New Roman"/>
          <w:b/>
          <w:color w:val="000000" w:themeColor="text1"/>
          <w:sz w:val="26"/>
          <w:szCs w:val="26"/>
        </w:rPr>
        <w:t xml:space="preserve"> KÝ CHỨNG KHOÁN</w:t>
      </w:r>
    </w:p>
    <w:p w:rsidR="00A875FF" w:rsidRPr="00994294" w:rsidRDefault="00D241AA" w:rsidP="00A875FF">
      <w:pPr>
        <w:pStyle w:val="ListParagraph"/>
        <w:numPr>
          <w:ilvl w:val="0"/>
          <w:numId w:val="5"/>
        </w:numPr>
        <w:ind w:left="90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Các sàn giao dịch chứ</w:t>
      </w:r>
      <w:r w:rsidR="0065561F" w:rsidRPr="00994294">
        <w:rPr>
          <w:rFonts w:ascii="Times New Roman" w:hAnsi="Times New Roman" w:cs="Times New Roman"/>
          <w:color w:val="000000" w:themeColor="text1"/>
          <w:sz w:val="26"/>
          <w:szCs w:val="26"/>
        </w:rPr>
        <w:t>ng khoán hoặc các địa chỉ sau:</w:t>
      </w:r>
    </w:p>
    <w:p w:rsidR="00A875FF" w:rsidRPr="00994294" w:rsidRDefault="006431AE" w:rsidP="006431AE">
      <w:pPr>
        <w:ind w:firstLine="72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 xml:space="preserve">+ </w:t>
      </w:r>
      <w:r w:rsidR="00A875FF" w:rsidRPr="00994294">
        <w:rPr>
          <w:rFonts w:ascii="Times New Roman" w:hAnsi="Times New Roman" w:cs="Times New Roman"/>
          <w:color w:val="000000" w:themeColor="text1"/>
          <w:sz w:val="26"/>
          <w:szCs w:val="26"/>
        </w:rPr>
        <w:t xml:space="preserve">Công ty Cổ phần Chứng Khoán Sài Gòn (SSI): </w:t>
      </w:r>
    </w:p>
    <w:p w:rsidR="00994294" w:rsidRPr="00994294" w:rsidRDefault="00994294" w:rsidP="00994294">
      <w:pPr>
        <w:ind w:left="720" w:firstLine="720"/>
        <w:rPr>
          <w:rFonts w:ascii="Times New Roman" w:hAnsi="Times New Roman" w:cs="Times New Roman"/>
          <w:b/>
          <w:i/>
          <w:color w:val="000000" w:themeColor="text1"/>
          <w:sz w:val="26"/>
          <w:szCs w:val="26"/>
        </w:rPr>
      </w:pPr>
      <w:r w:rsidRPr="00994294">
        <w:rPr>
          <w:rFonts w:ascii="Times New Roman" w:hAnsi="Times New Roman" w:cs="Times New Roman"/>
          <w:b/>
          <w:i/>
          <w:color w:val="000000" w:themeColor="text1"/>
          <w:sz w:val="26"/>
          <w:szCs w:val="26"/>
        </w:rPr>
        <w:lastRenderedPageBreak/>
        <w:t xml:space="preserve">PHÍA BẮC </w:t>
      </w:r>
    </w:p>
    <w:p w:rsidR="00994294" w:rsidRPr="00994294" w:rsidRDefault="00994294" w:rsidP="00994294">
      <w:pPr>
        <w:ind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Chi nhánh Hà Nội: 1C Ngô Quyền, Hoàn Kiếm, Hà Nội</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24 39366321, +84 24 62888885 Fax: +84 24 39366311</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Phòng giao dịch Trần Hưng Đạo: Tầng 10, Toà nhà Capital Tower, số 109 Trần Hưng Đạo, Phường Cửa Nam, Quận Hoàn Kiếm, Hà Nội</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24 39413383, Fax: +84 24 39413385</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Phòng giao dịch Nguyễn Chí Thanh: Tầng 08, Tòa Nhà TNR Tower, 54A Nguyễn Chí Thanh, Phường Láng Thượng, Quận Đống Đa, Thành phố Hà Nội</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24 37734999, Fax: +84 24 37714999</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Chi nhánh Mỹ Đình: Tầng G, tòa nhà The Manor, Mỹ Đình, Mễ Trì, Từ Liêm, Hà Nội</w:t>
      </w:r>
    </w:p>
    <w:p w:rsidR="00A875FF"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24 37946699, Fax: +84 24 37946677</w:t>
      </w:r>
    </w:p>
    <w:p w:rsid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Chi nhánh Hải Phòng: 22 Lý Tự Trọng, Quận Hồng Bàng, TP. Hải Phòng</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+84 225 3569123, Fax: +84 225 3569130</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Công ty TNHH Quản lý Quỹ SSI: 1C Ngô Quyền, Hà Nội</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24 39366321, Fax: +84 24 39366337</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b/>
          <w:i/>
          <w:color w:val="000000" w:themeColor="text1"/>
          <w:sz w:val="26"/>
          <w:szCs w:val="26"/>
        </w:rPr>
      </w:pPr>
      <w:r w:rsidRPr="00994294">
        <w:rPr>
          <w:rFonts w:ascii="Times New Roman" w:hAnsi="Times New Roman" w:cs="Times New Roman"/>
          <w:b/>
          <w:i/>
          <w:color w:val="000000" w:themeColor="text1"/>
          <w:sz w:val="26"/>
          <w:szCs w:val="26"/>
        </w:rPr>
        <w:t xml:space="preserve">PHÍA NAM </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 xml:space="preserve">Trụ sở chính: 72 Nguyễn Huệ, Quận 1, TP. HCM </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28 38242897 - Fax: +84 28 38242997</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Chi nhánh Nguyễn Công Trứ: Tầng 7 Tòa nhà TNR 180-192 Nguyễn Công Trứ, Quận 1, TP. HCM</w:t>
      </w:r>
    </w:p>
    <w:p w:rsid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28 38218567; Fax: +84 28 38213867</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Chi nhánh Vũng Tàu: 4 Lê Lợi, TP. Vũng Tàu</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+84 254 3521906; Fax: +84 254 3521907</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Chi nhánh Nha Trang: 50 Lê Thanh Phương, TP. Nha Trang</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+84 258 3816969; Fax: +84 258 3816968</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Phòng giao dịch Phạm Ngọc Thạch: Tầng 2, Tòa nhà ITower, Số 49 Phạm Ngọc Thạch, Phường 6, Quận 3, TP. HCM</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28 38245079; Fax: +84 28 38245077</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Phòng giao dịch Nguyễn Văn Cừ: Tầng 8, Tòa nhà Royal Centre Tower, 235 Nguyễn Văn Cừ, Phường Cư Trinh, Quận 1, TP.HCM</w:t>
      </w:r>
    </w:p>
    <w:p w:rsid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28 36220123; Fax: +84 28 36226667</w:t>
      </w:r>
    </w:p>
    <w:p w:rsid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lastRenderedPageBreak/>
        <w:t>Phòng giao dịch Nguyễn Thị Minh Khai: Tầng 1, Tòa nhà Golden Tower, số 6 Nguyễn Thị Minh Khai, Phường Đa Kao, Quận 1, TP.HCM</w:t>
      </w: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28 36 222 666 ; Fax: +84 28 36 222 333</w:t>
      </w:r>
    </w:p>
    <w:p w:rsidR="00994294" w:rsidRPr="00994294" w:rsidRDefault="00994294" w:rsidP="00994294">
      <w:pPr>
        <w:ind w:left="1440" w:firstLine="0"/>
        <w:rPr>
          <w:rFonts w:ascii="Times New Roman" w:hAnsi="Times New Roman" w:cs="Times New Roman"/>
          <w:color w:val="000000" w:themeColor="text1"/>
          <w:sz w:val="26"/>
          <w:szCs w:val="26"/>
        </w:rPr>
      </w:pPr>
    </w:p>
    <w:p w:rsidR="00994294" w:rsidRP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Phòng giao dịch Nguyễn Hữu Cảnh: Tầng 5-6, 11 Đường D2, Shophouse Saigon Pearl số 92 Đường Nguyễn Hữu Cảnh, Phường 22, Quận Bình Thạnh, TP. HCM</w:t>
      </w:r>
    </w:p>
    <w:p w:rsidR="00994294" w:rsidRDefault="00994294" w:rsidP="00994294">
      <w:pPr>
        <w:ind w:left="144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Điện thoại: +84 28 3622 2233 ; Fax: +84 28 3622 2277</w:t>
      </w:r>
    </w:p>
    <w:p w:rsidR="00994294" w:rsidRPr="00994294" w:rsidRDefault="00994294" w:rsidP="00994294">
      <w:pPr>
        <w:ind w:left="1440" w:firstLine="0"/>
        <w:rPr>
          <w:rFonts w:ascii="Times New Roman" w:hAnsi="Times New Roman" w:cs="Times New Roman"/>
          <w:color w:val="000000" w:themeColor="text1"/>
          <w:sz w:val="26"/>
          <w:szCs w:val="26"/>
          <w:shd w:val="clear" w:color="auto" w:fill="FFFFFF"/>
        </w:rPr>
      </w:pPr>
    </w:p>
    <w:p w:rsidR="00AF3D76" w:rsidRPr="00994294" w:rsidRDefault="00610E9C" w:rsidP="00610E9C">
      <w:pPr>
        <w:ind w:firstLine="72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 xml:space="preserve">+ </w:t>
      </w:r>
      <w:r w:rsidR="006431AE" w:rsidRPr="00994294">
        <w:rPr>
          <w:rFonts w:ascii="Times New Roman" w:hAnsi="Times New Roman" w:cs="Times New Roman"/>
          <w:color w:val="000000" w:themeColor="text1"/>
          <w:sz w:val="26"/>
          <w:szCs w:val="26"/>
        </w:rPr>
        <w:t>Các công ty chứng khoán khác như: Công ty Chứng khoán An Bình, FPT,</w:t>
      </w:r>
      <w:r w:rsidR="00994294">
        <w:rPr>
          <w:rFonts w:ascii="Times New Roman" w:hAnsi="Times New Roman" w:cs="Times New Roman"/>
          <w:color w:val="000000" w:themeColor="text1"/>
          <w:sz w:val="26"/>
          <w:szCs w:val="26"/>
        </w:rPr>
        <w:t xml:space="preserve"> VSD</w:t>
      </w:r>
      <w:r w:rsidR="006431AE" w:rsidRPr="00994294">
        <w:rPr>
          <w:rFonts w:ascii="Times New Roman" w:hAnsi="Times New Roman" w:cs="Times New Roman"/>
          <w:color w:val="000000" w:themeColor="text1"/>
          <w:sz w:val="26"/>
          <w:szCs w:val="26"/>
        </w:rPr>
        <w:t>…</w:t>
      </w:r>
    </w:p>
    <w:p w:rsidR="00AF3D76" w:rsidRPr="00994294" w:rsidRDefault="00AF3D76" w:rsidP="00AF3D76">
      <w:pPr>
        <w:ind w:firstLine="0"/>
        <w:rPr>
          <w:rFonts w:ascii="Times New Roman" w:hAnsi="Times New Roman" w:cs="Times New Roman"/>
          <w:color w:val="000000" w:themeColor="text1"/>
          <w:sz w:val="26"/>
          <w:szCs w:val="26"/>
        </w:rPr>
      </w:pPr>
    </w:p>
    <w:p w:rsidR="00595B7E" w:rsidRPr="00994294" w:rsidRDefault="00D22707" w:rsidP="00CB3F9D">
      <w:pPr>
        <w:ind w:firstLine="0"/>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5</w:t>
      </w:r>
      <w:r w:rsidR="00AF3D76" w:rsidRPr="00994294">
        <w:rPr>
          <w:rFonts w:ascii="Times New Roman" w:hAnsi="Times New Roman" w:cs="Times New Roman"/>
          <w:b/>
          <w:color w:val="000000" w:themeColor="text1"/>
          <w:sz w:val="26"/>
          <w:szCs w:val="26"/>
        </w:rPr>
        <w:t xml:space="preserve">. </w:t>
      </w:r>
      <w:r w:rsidR="00610E9C" w:rsidRPr="00994294">
        <w:rPr>
          <w:rFonts w:ascii="Times New Roman" w:hAnsi="Times New Roman" w:cs="Times New Roman"/>
          <w:b/>
          <w:color w:val="000000" w:themeColor="text1"/>
          <w:sz w:val="26"/>
          <w:szCs w:val="26"/>
        </w:rPr>
        <w:t xml:space="preserve">CÁC </w:t>
      </w:r>
      <w:r w:rsidR="004668EB" w:rsidRPr="00994294">
        <w:rPr>
          <w:rFonts w:ascii="Times New Roman" w:hAnsi="Times New Roman" w:cs="Times New Roman"/>
          <w:b/>
          <w:color w:val="000000" w:themeColor="text1"/>
          <w:sz w:val="26"/>
          <w:szCs w:val="26"/>
        </w:rPr>
        <w:t>LƯU Ý VỀ HỒ</w:t>
      </w:r>
      <w:r w:rsidR="00D739F4" w:rsidRPr="00994294">
        <w:rPr>
          <w:rFonts w:ascii="Times New Roman" w:hAnsi="Times New Roman" w:cs="Times New Roman"/>
          <w:b/>
          <w:color w:val="000000" w:themeColor="text1"/>
          <w:sz w:val="26"/>
          <w:szCs w:val="26"/>
        </w:rPr>
        <w:t xml:space="preserve"> SƠ LƯU</w:t>
      </w:r>
      <w:r w:rsidR="004668EB" w:rsidRPr="00994294">
        <w:rPr>
          <w:rFonts w:ascii="Times New Roman" w:hAnsi="Times New Roman" w:cs="Times New Roman"/>
          <w:b/>
          <w:color w:val="000000" w:themeColor="text1"/>
          <w:sz w:val="26"/>
          <w:szCs w:val="26"/>
        </w:rPr>
        <w:t xml:space="preserve"> KÝ CHỨNG KHOÁN</w:t>
      </w:r>
      <w:r w:rsidR="00D739F4" w:rsidRPr="00994294">
        <w:rPr>
          <w:rFonts w:ascii="Times New Roman" w:hAnsi="Times New Roman" w:cs="Times New Roman"/>
          <w:b/>
          <w:color w:val="000000" w:themeColor="text1"/>
          <w:sz w:val="26"/>
          <w:szCs w:val="26"/>
        </w:rPr>
        <w:t>:</w:t>
      </w:r>
    </w:p>
    <w:p w:rsidR="00595B7E" w:rsidRPr="00994294" w:rsidRDefault="00610E9C" w:rsidP="00610E9C">
      <w:pPr>
        <w:rPr>
          <w:rFonts w:ascii="Times New Roman" w:hAnsi="Times New Roman" w:cs="Times New Roman"/>
          <w:b/>
          <w:color w:val="000000" w:themeColor="text1"/>
          <w:sz w:val="26"/>
          <w:szCs w:val="26"/>
        </w:rPr>
      </w:pPr>
      <w:r w:rsidRPr="00994294">
        <w:rPr>
          <w:rFonts w:ascii="Times New Roman" w:hAnsi="Times New Roman" w:cs="Times New Roman"/>
          <w:color w:val="000000" w:themeColor="text1"/>
          <w:sz w:val="26"/>
          <w:szCs w:val="26"/>
        </w:rPr>
        <w:t xml:space="preserve">- </w:t>
      </w:r>
      <w:r w:rsidR="00D739F4" w:rsidRPr="00994294">
        <w:rPr>
          <w:rFonts w:ascii="Times New Roman" w:hAnsi="Times New Roman" w:cs="Times New Roman"/>
          <w:color w:val="000000" w:themeColor="text1"/>
          <w:sz w:val="26"/>
          <w:szCs w:val="26"/>
        </w:rPr>
        <w:t xml:space="preserve">Số trên </w:t>
      </w:r>
      <w:r w:rsidRPr="00994294">
        <w:rPr>
          <w:rFonts w:ascii="Times New Roman" w:hAnsi="Times New Roman" w:cs="Times New Roman"/>
          <w:color w:val="000000" w:themeColor="text1"/>
          <w:sz w:val="26"/>
          <w:szCs w:val="26"/>
        </w:rPr>
        <w:t>Chứng minh nhân dân (</w:t>
      </w:r>
      <w:r w:rsidR="00D739F4" w:rsidRPr="00994294">
        <w:rPr>
          <w:rFonts w:ascii="Times New Roman" w:hAnsi="Times New Roman" w:cs="Times New Roman"/>
          <w:color w:val="000000" w:themeColor="text1"/>
          <w:sz w:val="26"/>
          <w:szCs w:val="26"/>
        </w:rPr>
        <w:t>CMND</w:t>
      </w:r>
      <w:r w:rsidRPr="00994294">
        <w:rPr>
          <w:rFonts w:ascii="Times New Roman" w:hAnsi="Times New Roman" w:cs="Times New Roman"/>
          <w:color w:val="000000" w:themeColor="text1"/>
          <w:sz w:val="26"/>
          <w:szCs w:val="26"/>
        </w:rPr>
        <w:t>)</w:t>
      </w:r>
      <w:r w:rsidR="00D739F4" w:rsidRPr="00994294">
        <w:rPr>
          <w:rFonts w:ascii="Times New Roman" w:hAnsi="Times New Roman" w:cs="Times New Roman"/>
          <w:color w:val="000000" w:themeColor="text1"/>
          <w:sz w:val="26"/>
          <w:szCs w:val="26"/>
        </w:rPr>
        <w:t xml:space="preserve"> bản gốc phải </w:t>
      </w:r>
      <w:r w:rsidR="006431AE" w:rsidRPr="00994294">
        <w:rPr>
          <w:rFonts w:ascii="Times New Roman" w:hAnsi="Times New Roman" w:cs="Times New Roman"/>
          <w:color w:val="000000" w:themeColor="text1"/>
          <w:sz w:val="26"/>
          <w:szCs w:val="26"/>
        </w:rPr>
        <w:t xml:space="preserve">trùng </w:t>
      </w:r>
      <w:r w:rsidR="00D739F4" w:rsidRPr="00994294">
        <w:rPr>
          <w:rFonts w:ascii="Times New Roman" w:hAnsi="Times New Roman" w:cs="Times New Roman"/>
          <w:color w:val="000000" w:themeColor="text1"/>
          <w:sz w:val="26"/>
          <w:szCs w:val="26"/>
        </w:rPr>
        <w:t xml:space="preserve">khớp với CMND </w:t>
      </w:r>
      <w:r w:rsidRPr="00994294">
        <w:rPr>
          <w:rFonts w:ascii="Times New Roman" w:hAnsi="Times New Roman" w:cs="Times New Roman"/>
          <w:color w:val="000000" w:themeColor="text1"/>
          <w:sz w:val="26"/>
          <w:szCs w:val="26"/>
        </w:rPr>
        <w:t xml:space="preserve">in </w:t>
      </w:r>
      <w:r w:rsidR="00D739F4" w:rsidRPr="00994294">
        <w:rPr>
          <w:rFonts w:ascii="Times New Roman" w:hAnsi="Times New Roman" w:cs="Times New Roman"/>
          <w:color w:val="000000" w:themeColor="text1"/>
          <w:sz w:val="26"/>
          <w:szCs w:val="26"/>
        </w:rPr>
        <w:t>trên sổ</w:t>
      </w:r>
      <w:r w:rsidRPr="00994294">
        <w:rPr>
          <w:rFonts w:ascii="Times New Roman" w:hAnsi="Times New Roman" w:cs="Times New Roman"/>
          <w:color w:val="000000" w:themeColor="text1"/>
          <w:sz w:val="26"/>
          <w:szCs w:val="26"/>
        </w:rPr>
        <w:t>.</w:t>
      </w:r>
    </w:p>
    <w:p w:rsidR="006431AE" w:rsidRPr="00994294" w:rsidRDefault="006431AE" w:rsidP="006431AE">
      <w:pPr>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 Trường hợp Cổ đông đã đổi Chứng minh nhân dân (CMND) sang thẻ Căn cước công dân (CCCD) cần liên hệ Công ty Cổ phần đầu tư kinh doanh Điện lực TP.HCM (địa chỉ 233/34 đường Đặng Thùy Trâm, Phường 13, Quận Bình Thạnh, TP.Hồ Chí Minh) để làm điều chỉnh.</w:t>
      </w:r>
    </w:p>
    <w:p w:rsidR="006431AE" w:rsidRPr="00994294" w:rsidRDefault="006431AE" w:rsidP="006431AE">
      <w:pPr>
        <w:ind w:left="720" w:firstLine="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Hồ sơ điều chỉnh gồm:</w:t>
      </w:r>
    </w:p>
    <w:p w:rsidR="006431AE" w:rsidRPr="00994294" w:rsidRDefault="006431AE" w:rsidP="006431AE">
      <w:pPr>
        <w:pStyle w:val="ListParagraph"/>
        <w:numPr>
          <w:ilvl w:val="1"/>
          <w:numId w:val="5"/>
        </w:numPr>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Sổ/Giấy chứng nhận sở hữu cổ phần (bản gốc)</w:t>
      </w:r>
    </w:p>
    <w:p w:rsidR="006431AE" w:rsidRPr="00994294" w:rsidRDefault="006431AE" w:rsidP="006431AE">
      <w:pPr>
        <w:pStyle w:val="ListParagraph"/>
        <w:numPr>
          <w:ilvl w:val="1"/>
          <w:numId w:val="12"/>
        </w:numPr>
        <w:ind w:left="144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CCCD (bản gốc).</w:t>
      </w:r>
    </w:p>
    <w:p w:rsidR="006431AE" w:rsidRPr="00994294" w:rsidRDefault="006431AE" w:rsidP="006431AE">
      <w:pPr>
        <w:pStyle w:val="ListParagraph"/>
        <w:numPr>
          <w:ilvl w:val="1"/>
          <w:numId w:val="12"/>
        </w:numPr>
        <w:ind w:left="144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CMND cũ / Giấy xác nhận Cơ quan Công an đổi CMND sang CCCD: bản gốc/ bản pho to</w:t>
      </w:r>
    </w:p>
    <w:p w:rsidR="006431AE" w:rsidRPr="00994294" w:rsidRDefault="006431AE" w:rsidP="006431AE">
      <w:pPr>
        <w:ind w:firstLine="72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Nhân viên Công ty Cổ phần đầu tư kinh doanh Điện lực TP.HCM sẽ tiếp nhận, kiểm tra và photo lại CCCD, Giấy xác nhận Cơ quan Công an đổi CMND sang CCCD/ CMND cũ và hoàn trả các bản gốc này cho Nhà Đầu tư.</w:t>
      </w:r>
    </w:p>
    <w:p w:rsidR="006431AE" w:rsidRPr="00994294" w:rsidRDefault="006431AE" w:rsidP="006431AE">
      <w:pPr>
        <w:ind w:firstLine="720"/>
        <w:rPr>
          <w:rFonts w:ascii="Times New Roman" w:hAnsi="Times New Roman" w:cs="Times New Roman"/>
          <w:color w:val="000000" w:themeColor="text1"/>
          <w:sz w:val="26"/>
          <w:szCs w:val="26"/>
        </w:rPr>
      </w:pPr>
      <w:r w:rsidRPr="00994294">
        <w:rPr>
          <w:rFonts w:ascii="Times New Roman" w:hAnsi="Times New Roman" w:cs="Times New Roman"/>
          <w:color w:val="000000" w:themeColor="text1"/>
          <w:sz w:val="26"/>
          <w:szCs w:val="26"/>
        </w:rPr>
        <w:t>- Thời gian điều chỉnh: 10-15 ngày (là thời gian làm việc với Trung tâm lưu ký để cập nhật thông tin).</w:t>
      </w:r>
    </w:p>
    <w:sectPr w:rsidR="006431AE" w:rsidRPr="00994294" w:rsidSect="00B46C1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9E8"/>
    <w:multiLevelType w:val="multilevel"/>
    <w:tmpl w:val="078E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F535C"/>
    <w:multiLevelType w:val="hybridMultilevel"/>
    <w:tmpl w:val="658C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9BB"/>
    <w:multiLevelType w:val="hybridMultilevel"/>
    <w:tmpl w:val="7B8ADABA"/>
    <w:lvl w:ilvl="0" w:tplc="04090001">
      <w:start w:val="1"/>
      <w:numFmt w:val="bullet"/>
      <w:lvlText w:val=""/>
      <w:lvlJc w:val="left"/>
      <w:pPr>
        <w:ind w:left="720" w:hanging="360"/>
      </w:pPr>
      <w:rPr>
        <w:rFonts w:ascii="Symbol" w:hAnsi="Symbol" w:hint="default"/>
      </w:rPr>
    </w:lvl>
    <w:lvl w:ilvl="1" w:tplc="82B82C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44424"/>
    <w:multiLevelType w:val="hybridMultilevel"/>
    <w:tmpl w:val="237CBD78"/>
    <w:lvl w:ilvl="0" w:tplc="DF66D19E">
      <w:start w:val="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04566"/>
    <w:multiLevelType w:val="hybridMultilevel"/>
    <w:tmpl w:val="C5B8A5A6"/>
    <w:lvl w:ilvl="0" w:tplc="04090001">
      <w:start w:val="1"/>
      <w:numFmt w:val="bullet"/>
      <w:lvlText w:val=""/>
      <w:lvlJc w:val="left"/>
      <w:pPr>
        <w:ind w:left="720" w:hanging="360"/>
      </w:pPr>
      <w:rPr>
        <w:rFonts w:ascii="Symbol" w:hAnsi="Symbol" w:hint="default"/>
      </w:rPr>
    </w:lvl>
    <w:lvl w:ilvl="1" w:tplc="835E342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F185B"/>
    <w:multiLevelType w:val="hybridMultilevel"/>
    <w:tmpl w:val="BB7E56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241E7"/>
    <w:multiLevelType w:val="hybridMultilevel"/>
    <w:tmpl w:val="0996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9D4EF2"/>
    <w:multiLevelType w:val="hybridMultilevel"/>
    <w:tmpl w:val="D50CE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970CD"/>
    <w:multiLevelType w:val="hybridMultilevel"/>
    <w:tmpl w:val="90BA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A1005"/>
    <w:multiLevelType w:val="hybridMultilevel"/>
    <w:tmpl w:val="A8F675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3C4B85"/>
    <w:multiLevelType w:val="hybridMultilevel"/>
    <w:tmpl w:val="5D224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D55F81"/>
    <w:multiLevelType w:val="hybridMultilevel"/>
    <w:tmpl w:val="67F0E0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C4675AB"/>
    <w:multiLevelType w:val="hybridMultilevel"/>
    <w:tmpl w:val="37AE59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F20DB"/>
    <w:multiLevelType w:val="hybridMultilevel"/>
    <w:tmpl w:val="4E40664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2"/>
  </w:num>
  <w:num w:numId="6">
    <w:abstractNumId w:val="4"/>
  </w:num>
  <w:num w:numId="7">
    <w:abstractNumId w:val="6"/>
  </w:num>
  <w:num w:numId="8">
    <w:abstractNumId w:val="11"/>
  </w:num>
  <w:num w:numId="9">
    <w:abstractNumId w:val="7"/>
  </w:num>
  <w:num w:numId="10">
    <w:abstractNumId w:val="3"/>
  </w:num>
  <w:num w:numId="11">
    <w:abstractNumId w:val="9"/>
  </w:num>
  <w:num w:numId="12">
    <w:abstractNumId w:val="1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DB9"/>
    <w:rsid w:val="00042102"/>
    <w:rsid w:val="000E6071"/>
    <w:rsid w:val="001433AA"/>
    <w:rsid w:val="001960C1"/>
    <w:rsid w:val="001E3D05"/>
    <w:rsid w:val="001F2FED"/>
    <w:rsid w:val="00220D3E"/>
    <w:rsid w:val="00242878"/>
    <w:rsid w:val="002C69CF"/>
    <w:rsid w:val="004609D8"/>
    <w:rsid w:val="004668EB"/>
    <w:rsid w:val="00581B36"/>
    <w:rsid w:val="00595B7E"/>
    <w:rsid w:val="005A4BDF"/>
    <w:rsid w:val="005C63A4"/>
    <w:rsid w:val="00610E9C"/>
    <w:rsid w:val="006431AE"/>
    <w:rsid w:val="0065561F"/>
    <w:rsid w:val="006F1086"/>
    <w:rsid w:val="0074360A"/>
    <w:rsid w:val="00784778"/>
    <w:rsid w:val="00810065"/>
    <w:rsid w:val="008C1DB9"/>
    <w:rsid w:val="00917A00"/>
    <w:rsid w:val="00936525"/>
    <w:rsid w:val="00994294"/>
    <w:rsid w:val="00A54485"/>
    <w:rsid w:val="00A875FF"/>
    <w:rsid w:val="00AF3D76"/>
    <w:rsid w:val="00B17F69"/>
    <w:rsid w:val="00B46C1F"/>
    <w:rsid w:val="00B51984"/>
    <w:rsid w:val="00B628C3"/>
    <w:rsid w:val="00B670F5"/>
    <w:rsid w:val="00CB3F9D"/>
    <w:rsid w:val="00D22707"/>
    <w:rsid w:val="00D241AA"/>
    <w:rsid w:val="00D739F4"/>
    <w:rsid w:val="00D949E0"/>
    <w:rsid w:val="00E1686B"/>
    <w:rsid w:val="00EB7339"/>
    <w:rsid w:val="00F8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B9"/>
  </w:style>
  <w:style w:type="paragraph" w:styleId="Heading4">
    <w:name w:val="heading 4"/>
    <w:basedOn w:val="Normal"/>
    <w:link w:val="Heading4Char"/>
    <w:uiPriority w:val="9"/>
    <w:qFormat/>
    <w:rsid w:val="00B628C3"/>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28C3"/>
    <w:rPr>
      <w:rFonts w:ascii="Times New Roman" w:eastAsia="Times New Roman" w:hAnsi="Times New Roman" w:cs="Times New Roman"/>
      <w:b/>
      <w:bCs/>
      <w:sz w:val="24"/>
      <w:szCs w:val="24"/>
    </w:rPr>
  </w:style>
  <w:style w:type="character" w:styleId="Emphasis">
    <w:name w:val="Emphasis"/>
    <w:basedOn w:val="DefaultParagraphFont"/>
    <w:uiPriority w:val="20"/>
    <w:qFormat/>
    <w:rsid w:val="00B628C3"/>
    <w:rPr>
      <w:i/>
      <w:iCs/>
    </w:rPr>
  </w:style>
  <w:style w:type="paragraph" w:styleId="ListParagraph">
    <w:name w:val="List Paragraph"/>
    <w:basedOn w:val="Normal"/>
    <w:uiPriority w:val="34"/>
    <w:qFormat/>
    <w:rsid w:val="00595B7E"/>
    <w:pPr>
      <w:ind w:left="720"/>
      <w:contextualSpacing/>
    </w:pPr>
  </w:style>
  <w:style w:type="character" w:styleId="Hyperlink">
    <w:name w:val="Hyperlink"/>
    <w:basedOn w:val="DefaultParagraphFont"/>
    <w:uiPriority w:val="99"/>
    <w:semiHidden/>
    <w:unhideWhenUsed/>
    <w:rsid w:val="00610E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DB9"/>
  </w:style>
  <w:style w:type="paragraph" w:styleId="Heading4">
    <w:name w:val="heading 4"/>
    <w:basedOn w:val="Normal"/>
    <w:link w:val="Heading4Char"/>
    <w:uiPriority w:val="9"/>
    <w:qFormat/>
    <w:rsid w:val="00B628C3"/>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628C3"/>
    <w:rPr>
      <w:rFonts w:ascii="Times New Roman" w:eastAsia="Times New Roman" w:hAnsi="Times New Roman" w:cs="Times New Roman"/>
      <w:b/>
      <w:bCs/>
      <w:sz w:val="24"/>
      <w:szCs w:val="24"/>
    </w:rPr>
  </w:style>
  <w:style w:type="character" w:styleId="Emphasis">
    <w:name w:val="Emphasis"/>
    <w:basedOn w:val="DefaultParagraphFont"/>
    <w:uiPriority w:val="20"/>
    <w:qFormat/>
    <w:rsid w:val="00B628C3"/>
    <w:rPr>
      <w:i/>
      <w:iCs/>
    </w:rPr>
  </w:style>
  <w:style w:type="paragraph" w:styleId="ListParagraph">
    <w:name w:val="List Paragraph"/>
    <w:basedOn w:val="Normal"/>
    <w:uiPriority w:val="34"/>
    <w:qFormat/>
    <w:rsid w:val="00595B7E"/>
    <w:pPr>
      <w:ind w:left="720"/>
      <w:contextualSpacing/>
    </w:pPr>
  </w:style>
  <w:style w:type="character" w:styleId="Hyperlink">
    <w:name w:val="Hyperlink"/>
    <w:basedOn w:val="DefaultParagraphFont"/>
    <w:uiPriority w:val="99"/>
    <w:semiHidden/>
    <w:unhideWhenUsed/>
    <w:rsid w:val="00610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5452">
      <w:bodyDiv w:val="1"/>
      <w:marLeft w:val="0"/>
      <w:marRight w:val="0"/>
      <w:marTop w:val="0"/>
      <w:marBottom w:val="0"/>
      <w:divBdr>
        <w:top w:val="none" w:sz="0" w:space="0" w:color="auto"/>
        <w:left w:val="none" w:sz="0" w:space="0" w:color="auto"/>
        <w:bottom w:val="none" w:sz="0" w:space="0" w:color="auto"/>
        <w:right w:val="none" w:sz="0" w:space="0" w:color="auto"/>
      </w:divBdr>
    </w:div>
    <w:div w:id="148164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0E174-AF1B-43C8-A12D-8EAED480A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10</cp:revision>
  <cp:lastPrinted>2018-10-19T01:40:00Z</cp:lastPrinted>
  <dcterms:created xsi:type="dcterms:W3CDTF">2018-10-23T02:26:00Z</dcterms:created>
  <dcterms:modified xsi:type="dcterms:W3CDTF">2018-10-23T07:51:00Z</dcterms:modified>
</cp:coreProperties>
</file>